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 vacuum-attached scabblers and needle guns. Water suppression where dust extraction not practicable. Physical barriers to contain debris —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 air monitoring if breakout exceeds 4 hours continuous. Vibration exposure log maintained —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 no contamination of prepared surface between cleaning and priming. Product must match specification — no substitution without engineer approval.</w:t>
            </w:r>
          </w:p>
          <w:p>
            <w:pPr>
              <w:spacing w:before="20" w:after="20" w:line="276"/>
              <w:numPr>
                <w:ilvl w:val="0"/>
                <w:numId w:val="45"/>
              </w:numPr>
            </w:pPr>
            <w:r>
              <w:rPr>
                <w:rFonts w:ascii="Aptos" w:hAnsi="Aptos"/>
                <w:sz w:val="16"/>
                <w:szCs w:val="16"/>
              </w:rPr>
              <w:t xml:space="preserve">Repair mortar applied in lifts per specification — product and method matching engineer design. Mortar to fully encapsulate rebar with no voids. Surface finished to match surrounding profile.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 visible dust plume beyond immediate work zone. Reinforcement cross-section loss exceeds 20% or engineer tolerance — stop work, notify engineer for supplementary reinforcement design before proceeding. Structural concern, unexpected cracking, movement, or voids encountered during breakout —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 no dry cutting. Depth stop set on cutting equipment per engineering specification —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 slot depths, bar sizes, spacing, grout product confirmed. SDS for all epoxy, grout, and primer products reviewed —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 unexpected movement or displacement observed — services detected in cutting path — structural engineer advises hold —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 allergic contact dermatitis. Eye contact with epoxy hardener — chemical burns. Solvent vapour inhalation from injection products. Injection equipment under pressure —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Injection equipment maintained per manufacturer — pressure relief valve functional, hose connections checked before use. Mixing ratios per product data sheet —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 </w:t>
            </w:r>
            <w:r>
              <w:rPr>
                <w:rFonts w:ascii="Aptos" w:hAnsi="Aptos"/>
                <w:sz w:val="16"/>
                <w:szCs w:val="16"/>
              </w:rPr>
              <w:t xml:space="preserve">SDS for epoxy resin, hardener, and crack sealer reviewed before use — on site and accessible. Ventilation confirmed adequate — outdoor work preferred. Injection pressure monitored —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(minimum) —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 wash immediately with soap and water, do not use solvent. Eye contact — flush 15 minutes, seek medical attention immediately. Injection pressure exceeds manufacturer limit. Crack leaking resin externally — depressurise and reseal. Product temperature outside application range. Exothermic reaction detected in mixing container —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 substrate preparation, primer, membrane type, application rates, cure times confirmed. SDS for all products reviewed before use. Ambient temperature and substrate moisture checked before application — no application outside product parameters. Wet film thickness checks during application. For concrete cancer remediation: anti-carbonation coating applied to cured repair mortar per engineer specification before membrane or final coating — product and coverage rate as specified.</w:t>
            </w:r>
          </w:p>
          <w:p>
            <w:pPr>
              <w:spacing w:before="20" w:after="20" w:line="276"/>
            </w:pPr>
            <w:r>
              <w:rPr>
                <w:rFonts w:ascii="Aptos" w:hAnsi="Aptos"/>
                <w:sz w:val="16"/>
                <w:szCs w:val="16"/>
                <w:b/>
              </w:rPr>
              <w:t xml:space="preserve">PPE: </w:t>
            </w:r>
            <w:r>
              <w:rPr>
                <w:rFonts w:ascii="Aptos" w:hAnsi="Aptos"/>
                <w:sz w:val="16"/>
                <w:szCs w:val="16"/>
              </w:rPr>
              <w:t xml:space="preserve">Nitrile gloves —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 substrate moisture exceeds product tolerance — rain imminent on uncured membrane — ventilation fails in enclosed area —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 no material to fall below. Backer rod sized correctly to joint width —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 joint widths, depths, sealant type, primer compatibility confirmed. SDS for sealant, primer, and backer rod products reviewed. Joint movement range confirmed with structural engineer if movement exceeds original design. Weather check —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 substrate condition prevents proper adhesion — rain during application — product outside temperature range —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14"/>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